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5ED7" w14:textId="5EFA7B00" w:rsidR="004D7D8F" w:rsidRPr="00741196" w:rsidRDefault="00E97A35" w:rsidP="00741196">
      <w:pPr>
        <w:spacing w:after="0" w:line="360" w:lineRule="auto"/>
        <w:ind w:left="709"/>
        <w:jc w:val="center"/>
        <w:rPr>
          <w:rFonts w:ascii="Poppins Light" w:eastAsia="Times New Roman" w:hAnsi="Poppins Light" w:cs="Poppins Light"/>
          <w:b/>
          <w:bCs/>
          <w:kern w:val="0"/>
          <w:sz w:val="16"/>
          <w:szCs w:val="16"/>
          <w14:ligatures w14:val="none"/>
        </w:rPr>
      </w:pPr>
      <w:r w:rsidRPr="00741196">
        <w:rPr>
          <w:rFonts w:ascii="Poppins Light" w:eastAsia="Times New Roman" w:hAnsi="Poppins Light" w:cs="Poppins Light"/>
          <w:b/>
          <w:bCs/>
          <w:kern w:val="0"/>
          <w:sz w:val="16"/>
          <w:szCs w:val="16"/>
          <w14:ligatures w14:val="none"/>
        </w:rPr>
        <w:t xml:space="preserve">Addendum to the Subscription Agreement for </w:t>
      </w:r>
      <w:r w:rsidR="00693160" w:rsidRPr="00741196">
        <w:rPr>
          <w:rFonts w:ascii="Poppins Light" w:eastAsia="Times New Roman" w:hAnsi="Poppins Light" w:cs="Poppins Light"/>
          <w:b/>
          <w:bCs/>
          <w:kern w:val="0"/>
          <w:sz w:val="16"/>
          <w:szCs w:val="16"/>
          <w14:ligatures w14:val="none"/>
        </w:rPr>
        <w:t>limited data sharing</w:t>
      </w:r>
    </w:p>
    <w:p w14:paraId="6CC69594" w14:textId="5C2CD1DE" w:rsidR="00E97A35" w:rsidRPr="00C91B0C" w:rsidRDefault="00E97A35" w:rsidP="00741196">
      <w:pPr>
        <w:jc w:val="both"/>
        <w:rPr>
          <w:rFonts w:ascii="Poppins Light" w:hAnsi="Poppins Light" w:cs="Poppins Light"/>
          <w:sz w:val="16"/>
          <w:szCs w:val="16"/>
        </w:rPr>
      </w:pPr>
      <w:r w:rsidRPr="00C91B0C">
        <w:rPr>
          <w:rFonts w:ascii="Poppins Light" w:hAnsi="Poppins Light" w:cs="Poppins Light"/>
          <w:sz w:val="16"/>
          <w:szCs w:val="16"/>
        </w:rPr>
        <w:t>This addendum supplements the Terms agreed in the Subscription Agreement</w:t>
      </w:r>
      <w:r w:rsidR="00983C5D" w:rsidRPr="00C91B0C">
        <w:rPr>
          <w:rFonts w:ascii="Poppins Light" w:hAnsi="Poppins Light" w:cs="Poppins Light"/>
          <w:sz w:val="16"/>
          <w:szCs w:val="16"/>
        </w:rPr>
        <w:t xml:space="preserve"> (</w:t>
      </w:r>
      <w:r w:rsidR="00983C5D" w:rsidRPr="00C91B0C">
        <w:rPr>
          <w:rFonts w:ascii="Poppins Light" w:hAnsi="Poppins Light" w:cs="Poppins Light"/>
          <w:sz w:val="16"/>
          <w:szCs w:val="16"/>
          <w:highlight w:val="yellow"/>
        </w:rPr>
        <w:t>id of the Agreement</w:t>
      </w:r>
      <w:r w:rsidR="00983C5D" w:rsidRPr="00C91B0C">
        <w:rPr>
          <w:rFonts w:ascii="Poppins Light" w:hAnsi="Poppins Light" w:cs="Poppins Light"/>
          <w:sz w:val="16"/>
          <w:szCs w:val="16"/>
        </w:rPr>
        <w:t>)</w:t>
      </w:r>
      <w:r w:rsidRPr="00C91B0C">
        <w:rPr>
          <w:rFonts w:ascii="Poppins Light" w:hAnsi="Poppins Light" w:cs="Poppins Light"/>
          <w:sz w:val="16"/>
          <w:szCs w:val="16"/>
        </w:rPr>
        <w:t>.</w:t>
      </w:r>
    </w:p>
    <w:p w14:paraId="6B96C39F" w14:textId="4A4D962E" w:rsidR="00E97A35" w:rsidRPr="00C91B0C" w:rsidRDefault="00E97A35" w:rsidP="00741196">
      <w:pPr>
        <w:jc w:val="both"/>
        <w:rPr>
          <w:rFonts w:ascii="Poppins Light" w:hAnsi="Poppins Light" w:cs="Poppins Light"/>
          <w:sz w:val="16"/>
          <w:szCs w:val="16"/>
        </w:rPr>
      </w:pPr>
      <w:r w:rsidRPr="00C91B0C">
        <w:rPr>
          <w:rFonts w:ascii="Poppins Light" w:hAnsi="Poppins Light" w:cs="Poppins Light"/>
          <w:sz w:val="16"/>
          <w:szCs w:val="16"/>
        </w:rPr>
        <w:t>Except as otherwise expressly provided, in the event of any ambiguity or conflict between any provision of this Addendum and any other provision of the Agreement, this Addendum shall control to the extent of such ambiguity or conflict.</w:t>
      </w:r>
    </w:p>
    <w:p w14:paraId="67E09C5C" w14:textId="668CD184" w:rsidR="00E97A35" w:rsidRPr="00C91B0C" w:rsidRDefault="00E97A35" w:rsidP="00741196">
      <w:pPr>
        <w:pStyle w:val="ListParagraph"/>
        <w:numPr>
          <w:ilvl w:val="0"/>
          <w:numId w:val="1"/>
        </w:numPr>
        <w:jc w:val="both"/>
        <w:rPr>
          <w:rFonts w:ascii="Poppins Light" w:hAnsi="Poppins Light" w:cs="Poppins Light"/>
          <w:sz w:val="16"/>
          <w:szCs w:val="16"/>
        </w:rPr>
      </w:pPr>
      <w:r w:rsidRPr="00C91B0C">
        <w:rPr>
          <w:rFonts w:ascii="Poppins Light" w:hAnsi="Poppins Light" w:cs="Poppins Light"/>
          <w:sz w:val="16"/>
          <w:szCs w:val="16"/>
        </w:rPr>
        <w:t xml:space="preserve">Right to share </w:t>
      </w:r>
      <w:r w:rsidR="00983C5D" w:rsidRPr="00C91B0C">
        <w:rPr>
          <w:rFonts w:ascii="Poppins Light" w:hAnsi="Poppins Light" w:cs="Poppins Light"/>
          <w:sz w:val="16"/>
          <w:szCs w:val="16"/>
        </w:rPr>
        <w:t xml:space="preserve">EMMI Data Package </w:t>
      </w:r>
      <w:r w:rsidRPr="00C91B0C">
        <w:rPr>
          <w:rFonts w:ascii="Poppins Light" w:hAnsi="Poppins Light" w:cs="Poppins Light"/>
          <w:sz w:val="16"/>
          <w:szCs w:val="16"/>
        </w:rPr>
        <w:t>with external clients</w:t>
      </w:r>
    </w:p>
    <w:p w14:paraId="0940D2B6" w14:textId="56D7431F" w:rsidR="00FA455F" w:rsidRPr="00C91B0C" w:rsidRDefault="003B32AF" w:rsidP="00741196">
      <w:pPr>
        <w:jc w:val="both"/>
        <w:rPr>
          <w:rFonts w:ascii="Poppins Light" w:hAnsi="Poppins Light" w:cs="Poppins Light"/>
          <w:sz w:val="16"/>
          <w:szCs w:val="16"/>
        </w:rPr>
      </w:pPr>
      <w:r w:rsidRPr="00C91B0C">
        <w:rPr>
          <w:rFonts w:ascii="Poppins Light" w:hAnsi="Poppins Light" w:cs="Poppins Light"/>
          <w:sz w:val="16"/>
          <w:szCs w:val="16"/>
        </w:rPr>
        <w:t xml:space="preserve">In addition to the use </w:t>
      </w:r>
      <w:r w:rsidR="00E51D57" w:rsidRPr="00C91B0C">
        <w:rPr>
          <w:rFonts w:ascii="Poppins Light" w:hAnsi="Poppins Light" w:cs="Poppins Light"/>
          <w:sz w:val="16"/>
          <w:szCs w:val="16"/>
        </w:rPr>
        <w:t xml:space="preserve">provided in the Subscription Agreement, EMMI authorize the </w:t>
      </w:r>
      <w:r w:rsidR="00693160" w:rsidRPr="00C91B0C">
        <w:rPr>
          <w:rFonts w:ascii="Poppins Light" w:hAnsi="Poppins Light" w:cs="Poppins Light"/>
          <w:sz w:val="16"/>
          <w:szCs w:val="16"/>
        </w:rPr>
        <w:t xml:space="preserve">Subscriber </w:t>
      </w:r>
      <w:r w:rsidR="00E51D57" w:rsidRPr="00C91B0C">
        <w:rPr>
          <w:rFonts w:ascii="Poppins Light" w:hAnsi="Poppins Light" w:cs="Poppins Light"/>
          <w:sz w:val="16"/>
          <w:szCs w:val="16"/>
        </w:rPr>
        <w:t xml:space="preserve">to share the Data Package, both in delayed </w:t>
      </w:r>
      <w:r w:rsidR="00983C5D" w:rsidRPr="00C91B0C">
        <w:rPr>
          <w:rFonts w:ascii="Poppins Light" w:hAnsi="Poppins Light" w:cs="Poppins Light"/>
          <w:sz w:val="16"/>
          <w:szCs w:val="16"/>
        </w:rPr>
        <w:t>and/or</w:t>
      </w:r>
      <w:r w:rsidR="00E51D57" w:rsidRPr="00C91B0C">
        <w:rPr>
          <w:rFonts w:ascii="Poppins Light" w:hAnsi="Poppins Light" w:cs="Poppins Light"/>
          <w:sz w:val="16"/>
          <w:szCs w:val="16"/>
        </w:rPr>
        <w:t xml:space="preserve"> live data,</w:t>
      </w:r>
      <w:r w:rsidR="00C91B0C" w:rsidRPr="00C91B0C">
        <w:rPr>
          <w:rFonts w:ascii="Poppins Light" w:hAnsi="Poppins Light" w:cs="Poppins Light"/>
          <w:sz w:val="16"/>
          <w:szCs w:val="16"/>
        </w:rPr>
        <w:t xml:space="preserve"> within the following limits. </w:t>
      </w:r>
    </w:p>
    <w:p w14:paraId="5822CE74" w14:textId="77777777" w:rsidR="00693160" w:rsidRPr="00C91B0C" w:rsidRDefault="00693160" w:rsidP="00741196">
      <w:pPr>
        <w:jc w:val="both"/>
        <w:rPr>
          <w:rFonts w:ascii="Poppins Light" w:hAnsi="Poppins Light" w:cs="Poppins Light"/>
          <w:sz w:val="16"/>
          <w:szCs w:val="16"/>
        </w:rPr>
      </w:pPr>
      <w:r w:rsidRPr="00C91B0C">
        <w:rPr>
          <w:rFonts w:ascii="Poppins Light" w:hAnsi="Poppins Light" w:cs="Poppins Light"/>
          <w:sz w:val="16"/>
          <w:szCs w:val="16"/>
        </w:rPr>
        <w:t xml:space="preserve">The Subscriber may disclose and provide evidence of the data (i.e. individual data points) from within the Data Package (including Live Data) to its customers where such data is provided solely for the purposes of allowing its customers to verify and reconcile the data used in the provision of its products and services; </w:t>
      </w:r>
    </w:p>
    <w:p w14:paraId="4A572A42" w14:textId="77777777" w:rsidR="00693160" w:rsidRPr="00C91B0C" w:rsidRDefault="00693160" w:rsidP="00741196">
      <w:pPr>
        <w:jc w:val="both"/>
        <w:rPr>
          <w:rFonts w:ascii="Poppins Light" w:hAnsi="Poppins Light" w:cs="Poppins Light"/>
          <w:sz w:val="16"/>
          <w:szCs w:val="16"/>
        </w:rPr>
      </w:pPr>
      <w:r w:rsidRPr="00C91B0C">
        <w:rPr>
          <w:rFonts w:ascii="Poppins Light" w:hAnsi="Poppins Light" w:cs="Poppins Light"/>
          <w:sz w:val="16"/>
          <w:szCs w:val="16"/>
        </w:rPr>
        <w:t xml:space="preserve">Provided that the disclosure of the data: </w:t>
      </w:r>
    </w:p>
    <w:p w14:paraId="0CFCF1F5" w14:textId="77777777" w:rsidR="00693160" w:rsidRPr="00C91B0C" w:rsidRDefault="00693160" w:rsidP="004E3612">
      <w:pPr>
        <w:pStyle w:val="ListParagraph"/>
        <w:numPr>
          <w:ilvl w:val="0"/>
          <w:numId w:val="10"/>
        </w:numPr>
        <w:spacing w:line="278" w:lineRule="auto"/>
        <w:jc w:val="both"/>
        <w:rPr>
          <w:rFonts w:ascii="Poppins Light" w:hAnsi="Poppins Light" w:cs="Poppins Light"/>
          <w:sz w:val="16"/>
          <w:szCs w:val="16"/>
        </w:rPr>
      </w:pPr>
      <w:r w:rsidRPr="00C91B0C">
        <w:rPr>
          <w:rFonts w:ascii="Poppins Light" w:hAnsi="Poppins Light" w:cs="Poppins Light"/>
          <w:sz w:val="16"/>
          <w:szCs w:val="16"/>
        </w:rPr>
        <w:t>Does not constitute a systematic distribution of the Data Package;</w:t>
      </w:r>
    </w:p>
    <w:p w14:paraId="5EDAFE85" w14:textId="77777777" w:rsidR="00693160" w:rsidRPr="00C91B0C" w:rsidRDefault="00693160" w:rsidP="004E3612">
      <w:pPr>
        <w:pStyle w:val="ListParagraph"/>
        <w:numPr>
          <w:ilvl w:val="0"/>
          <w:numId w:val="10"/>
        </w:numPr>
        <w:spacing w:line="278" w:lineRule="auto"/>
        <w:jc w:val="both"/>
        <w:rPr>
          <w:rFonts w:ascii="Poppins Light" w:hAnsi="Poppins Light" w:cs="Poppins Light"/>
          <w:sz w:val="16"/>
          <w:szCs w:val="16"/>
        </w:rPr>
      </w:pPr>
      <w:r w:rsidRPr="00C91B0C">
        <w:rPr>
          <w:rFonts w:ascii="Poppins Light" w:hAnsi="Poppins Light" w:cs="Poppins Light"/>
          <w:sz w:val="16"/>
          <w:szCs w:val="16"/>
        </w:rPr>
        <w:t>Is limited to the specific benchmark tenor used to support the products and services provisions;</w:t>
      </w:r>
    </w:p>
    <w:p w14:paraId="12632F34" w14:textId="6DDF0D7F" w:rsidR="00693160" w:rsidRPr="00C91B0C" w:rsidRDefault="00693160" w:rsidP="004E3612">
      <w:pPr>
        <w:pStyle w:val="ListParagraph"/>
        <w:numPr>
          <w:ilvl w:val="0"/>
          <w:numId w:val="10"/>
        </w:numPr>
        <w:spacing w:line="278" w:lineRule="auto"/>
        <w:jc w:val="both"/>
        <w:rPr>
          <w:rFonts w:ascii="Poppins Light" w:hAnsi="Poppins Light" w:cs="Poppins Light"/>
          <w:sz w:val="16"/>
          <w:szCs w:val="16"/>
        </w:rPr>
      </w:pPr>
      <w:r w:rsidRPr="00C91B0C">
        <w:rPr>
          <w:rFonts w:ascii="Poppins Light" w:hAnsi="Poppins Light" w:cs="Poppins Light"/>
          <w:sz w:val="16"/>
          <w:szCs w:val="16"/>
        </w:rPr>
        <w:t>Takes place through a delivery mechanism that cannot represent a data sourcing alternative to the Data Package as a whole;</w:t>
      </w:r>
    </w:p>
    <w:p w14:paraId="1AF33CAE" w14:textId="51F9D4FD" w:rsidR="00693160" w:rsidRPr="00C91B0C" w:rsidRDefault="00693160" w:rsidP="004E3612">
      <w:pPr>
        <w:pStyle w:val="ListParagraph"/>
        <w:numPr>
          <w:ilvl w:val="0"/>
          <w:numId w:val="10"/>
        </w:numPr>
        <w:spacing w:line="278" w:lineRule="auto"/>
        <w:jc w:val="both"/>
        <w:rPr>
          <w:rFonts w:ascii="Poppins Light" w:hAnsi="Poppins Light" w:cs="Poppins Light"/>
          <w:sz w:val="16"/>
          <w:szCs w:val="16"/>
        </w:rPr>
      </w:pPr>
      <w:r w:rsidRPr="00C91B0C">
        <w:rPr>
          <w:rFonts w:ascii="Poppins Light" w:hAnsi="Poppins Light" w:cs="Poppins Light"/>
          <w:sz w:val="16"/>
          <w:szCs w:val="16"/>
        </w:rPr>
        <w:t>The sharing of the data is free of charge for the external client.</w:t>
      </w:r>
    </w:p>
    <w:p w14:paraId="0BC1042F" w14:textId="77777777" w:rsidR="000E4733" w:rsidRDefault="00B65802" w:rsidP="000E4733">
      <w:pPr>
        <w:jc w:val="both"/>
        <w:rPr>
          <w:rFonts w:ascii="Poppins Light" w:hAnsi="Poppins Light" w:cs="Poppins Light"/>
          <w:sz w:val="16"/>
          <w:szCs w:val="16"/>
        </w:rPr>
      </w:pPr>
      <w:r w:rsidRPr="00C91B0C">
        <w:rPr>
          <w:rFonts w:ascii="Poppins Light" w:hAnsi="Poppins Light" w:cs="Poppins Light"/>
          <w:sz w:val="16"/>
          <w:szCs w:val="16"/>
        </w:rPr>
        <w:t xml:space="preserve">The Subscriber shall include </w:t>
      </w:r>
      <w:r w:rsidR="00E51D57" w:rsidRPr="00C91B0C">
        <w:rPr>
          <w:rFonts w:ascii="Poppins Light" w:hAnsi="Poppins Light" w:cs="Poppins Light"/>
          <w:sz w:val="16"/>
          <w:szCs w:val="16"/>
        </w:rPr>
        <w:t>in its communications and/or in the contracts with its clients and in the description of the specific product/service</w:t>
      </w:r>
      <w:r w:rsidR="00C91B0C" w:rsidRPr="00C91B0C">
        <w:rPr>
          <w:rFonts w:ascii="Poppins Light" w:hAnsi="Poppins Light" w:cs="Poppins Light"/>
          <w:sz w:val="16"/>
          <w:szCs w:val="16"/>
        </w:rPr>
        <w:t xml:space="preserve"> </w:t>
      </w:r>
      <w:r w:rsidR="00E51D57" w:rsidRPr="00C91B0C">
        <w:rPr>
          <w:rFonts w:ascii="Poppins Light" w:hAnsi="Poppins Light" w:cs="Poppins Light"/>
          <w:sz w:val="16"/>
          <w:szCs w:val="16"/>
        </w:rPr>
        <w:t xml:space="preserve">the following disclaimer: </w:t>
      </w:r>
    </w:p>
    <w:p w14:paraId="674633D3" w14:textId="3D8FA0FD" w:rsidR="000E4733" w:rsidRDefault="00E51D57" w:rsidP="000E4733">
      <w:pPr>
        <w:spacing w:after="0" w:line="360" w:lineRule="auto"/>
        <w:ind w:left="851"/>
        <w:jc w:val="both"/>
        <w:rPr>
          <w:rFonts w:ascii="Poppins Light" w:hAnsi="Poppins Light" w:cs="Poppins Light"/>
          <w:i/>
          <w:iCs/>
          <w:sz w:val="16"/>
          <w:szCs w:val="16"/>
        </w:rPr>
      </w:pPr>
      <w:r w:rsidRPr="00C91B0C">
        <w:rPr>
          <w:rFonts w:ascii="Poppins Light" w:hAnsi="Poppins Light" w:cs="Poppins Light"/>
          <w:sz w:val="16"/>
          <w:szCs w:val="16"/>
        </w:rPr>
        <w:t>“</w:t>
      </w:r>
      <w:r w:rsidR="001E2940" w:rsidRPr="00C91B0C">
        <w:rPr>
          <w:rFonts w:ascii="Poppins Light" w:hAnsi="Poppins Light" w:cs="Poppins Light"/>
          <w:i/>
          <w:iCs/>
          <w:sz w:val="16"/>
          <w:szCs w:val="16"/>
          <w:lang w:val="pl-PL"/>
        </w:rPr>
        <w:t xml:space="preserve">Euribor® and Efterm® are registered trademark by EMMI a.i.s.b.l. All rights reserved. Euribor® is a critical benchmark administered by the European Money Markets Institute.  EMMI shall have no responsibility for the use of Euribor® and/or Efterm® in this  document/website. </w:t>
      </w:r>
      <w:r w:rsidR="001E2940" w:rsidRPr="00C91B0C">
        <w:rPr>
          <w:rFonts w:ascii="Poppins Light" w:hAnsi="Poppins Light" w:cs="Poppins Light"/>
          <w:i/>
          <w:iCs/>
          <w:sz w:val="16"/>
          <w:szCs w:val="16"/>
        </w:rPr>
        <w:t>EMMI makes no express or implied warranties of fitness for a particular purpose with respect to its benchmarks.</w:t>
      </w:r>
      <w:r w:rsidR="00B65802" w:rsidRPr="00C91B0C">
        <w:rPr>
          <w:rFonts w:ascii="Poppins Light" w:hAnsi="Poppins Light" w:cs="Poppins Light"/>
          <w:i/>
          <w:iCs/>
          <w:sz w:val="16"/>
          <w:szCs w:val="16"/>
        </w:rPr>
        <w:t xml:space="preserve"> Sharing or publication of the received EMMI data is strictly forbidden without an explicit consent of EMMI.” </w:t>
      </w:r>
    </w:p>
    <w:p w14:paraId="2EC8BC4D" w14:textId="77777777" w:rsidR="004E3612" w:rsidRPr="00F75761" w:rsidRDefault="004E3612" w:rsidP="000E4733">
      <w:pPr>
        <w:spacing w:after="0" w:line="360" w:lineRule="auto"/>
        <w:ind w:left="851"/>
        <w:jc w:val="both"/>
        <w:rPr>
          <w:rFonts w:ascii="Poppins Light" w:hAnsi="Poppins Light" w:cs="Poppins Light"/>
          <w:i/>
          <w:iCs/>
          <w:sz w:val="8"/>
          <w:szCs w:val="8"/>
        </w:rPr>
      </w:pPr>
    </w:p>
    <w:p w14:paraId="73CB8206" w14:textId="77777777" w:rsidR="004E3612" w:rsidRDefault="004E3612" w:rsidP="000E4733">
      <w:pPr>
        <w:pStyle w:val="ListParagraph"/>
        <w:numPr>
          <w:ilvl w:val="0"/>
          <w:numId w:val="1"/>
        </w:numPr>
        <w:jc w:val="both"/>
        <w:rPr>
          <w:rFonts w:ascii="Poppins Light" w:hAnsi="Poppins Light" w:cs="Poppins Light"/>
          <w:sz w:val="16"/>
          <w:szCs w:val="16"/>
        </w:rPr>
      </w:pPr>
      <w:r>
        <w:rPr>
          <w:rFonts w:ascii="Poppins Light" w:hAnsi="Poppins Light" w:cs="Poppins Light"/>
          <w:sz w:val="16"/>
          <w:szCs w:val="16"/>
        </w:rPr>
        <w:t>Use of the Data Package</w:t>
      </w:r>
    </w:p>
    <w:p w14:paraId="76665996" w14:textId="6BD9F259" w:rsidR="004E3612" w:rsidRPr="00F75761" w:rsidRDefault="000E4733" w:rsidP="004E3612">
      <w:pPr>
        <w:ind w:left="360"/>
        <w:jc w:val="both"/>
        <w:rPr>
          <w:rFonts w:ascii="Poppins Light" w:hAnsi="Poppins Light" w:cs="Poppins Light"/>
          <w:i/>
          <w:iCs/>
          <w:color w:val="FF0000"/>
          <w:sz w:val="16"/>
          <w:szCs w:val="16"/>
        </w:rPr>
      </w:pPr>
      <w:r w:rsidRPr="004E3612">
        <w:rPr>
          <w:rFonts w:ascii="Poppins Light" w:hAnsi="Poppins Light" w:cs="Poppins Light"/>
          <w:sz w:val="16"/>
          <w:szCs w:val="16"/>
        </w:rPr>
        <w:t>Any use of the data diverging from the use defined in the Agreement and in this addendum shall be pre-approved by EMMI and negotiated and agreed between the Parties in written form.</w:t>
      </w:r>
      <w:r w:rsidRPr="00F75761">
        <w:rPr>
          <w:rFonts w:ascii="Poppins Light" w:hAnsi="Poppins Light" w:cs="Poppins Light"/>
          <w:i/>
          <w:iCs/>
          <w:color w:val="FF0000"/>
          <w:sz w:val="16"/>
          <w:szCs w:val="16"/>
        </w:rPr>
        <w:t xml:space="preserve"> </w:t>
      </w:r>
    </w:p>
    <w:p w14:paraId="0AC4AD72" w14:textId="23FB2FD2" w:rsidR="004E3612" w:rsidRPr="004E3612" w:rsidRDefault="004E3612" w:rsidP="004E3612">
      <w:pPr>
        <w:pStyle w:val="ListParagraph"/>
        <w:numPr>
          <w:ilvl w:val="0"/>
          <w:numId w:val="1"/>
        </w:numPr>
        <w:jc w:val="both"/>
        <w:rPr>
          <w:rFonts w:ascii="Poppins Light" w:hAnsi="Poppins Light" w:cs="Poppins Light"/>
          <w:sz w:val="16"/>
          <w:szCs w:val="16"/>
        </w:rPr>
      </w:pPr>
      <w:r w:rsidRPr="004E3612">
        <w:rPr>
          <w:rFonts w:ascii="Poppins Light" w:hAnsi="Poppins Light" w:cs="Poppins Light"/>
          <w:sz w:val="16"/>
          <w:szCs w:val="16"/>
        </w:rPr>
        <w:t>Chargeable fees</w:t>
      </w:r>
    </w:p>
    <w:p w14:paraId="68281200" w14:textId="032E1B3A" w:rsidR="00433680" w:rsidRDefault="000E4733" w:rsidP="00433680">
      <w:pPr>
        <w:spacing w:before="120"/>
        <w:ind w:left="357"/>
        <w:jc w:val="both"/>
        <w:rPr>
          <w:rFonts w:ascii="Poppins Light" w:hAnsi="Poppins Light" w:cs="Poppins Light"/>
          <w:sz w:val="16"/>
          <w:szCs w:val="16"/>
        </w:rPr>
      </w:pPr>
      <w:r w:rsidRPr="004E3612">
        <w:rPr>
          <w:rFonts w:ascii="Poppins Light" w:hAnsi="Poppins Light" w:cs="Poppins Light"/>
          <w:sz w:val="16"/>
          <w:szCs w:val="16"/>
        </w:rPr>
        <w:t xml:space="preserve">The right defined by the previous clause I) is recognized by EMMI as included in the fees charged for the Subscription Agreement </w:t>
      </w:r>
      <w:r w:rsidR="00C54308">
        <w:rPr>
          <w:rFonts w:ascii="Poppins Light" w:hAnsi="Poppins Light" w:cs="Poppins Light"/>
          <w:sz w:val="16"/>
          <w:szCs w:val="16"/>
        </w:rPr>
        <w:t xml:space="preserve">ID </w:t>
      </w:r>
      <w:r w:rsidR="00C54308" w:rsidRPr="00C54308">
        <w:rPr>
          <w:rFonts w:ascii="Poppins Light" w:hAnsi="Poppins Light" w:cs="Poppins Light"/>
          <w:sz w:val="16"/>
          <w:szCs w:val="16"/>
          <w:highlight w:val="yellow"/>
        </w:rPr>
        <w:t>00000</w:t>
      </w:r>
      <w:r w:rsidR="00C54308">
        <w:rPr>
          <w:rFonts w:ascii="Poppins Light" w:hAnsi="Poppins Light" w:cs="Poppins Light"/>
          <w:sz w:val="16"/>
          <w:szCs w:val="16"/>
        </w:rPr>
        <w:t xml:space="preserve"> </w:t>
      </w:r>
      <w:r w:rsidRPr="004E3612">
        <w:rPr>
          <w:rFonts w:ascii="Poppins Light" w:hAnsi="Poppins Light" w:cs="Poppins Light"/>
          <w:sz w:val="16"/>
          <w:szCs w:val="16"/>
        </w:rPr>
        <w:t>and to the extent the applicable fees for the Subscription Agreement are regularly paid. Delay or omission in the payment of said fees will automatically exclude the possibility to take advantage of the right recognised in clause I)</w:t>
      </w:r>
      <w:r w:rsidR="004E3612">
        <w:rPr>
          <w:rFonts w:ascii="Poppins Light" w:hAnsi="Poppins Light" w:cs="Poppins Light"/>
          <w:sz w:val="16"/>
          <w:szCs w:val="16"/>
        </w:rPr>
        <w:t>.</w:t>
      </w:r>
    </w:p>
    <w:p w14:paraId="5C94E082" w14:textId="2772D460" w:rsidR="00433680" w:rsidRPr="00C54308" w:rsidRDefault="00433680" w:rsidP="00433680">
      <w:pPr>
        <w:pStyle w:val="ListParagraph"/>
        <w:numPr>
          <w:ilvl w:val="0"/>
          <w:numId w:val="1"/>
        </w:numPr>
        <w:spacing w:before="120"/>
        <w:jc w:val="both"/>
        <w:rPr>
          <w:rFonts w:ascii="Poppins Light" w:hAnsi="Poppins Light" w:cs="Poppins Light"/>
          <w:sz w:val="16"/>
          <w:szCs w:val="16"/>
        </w:rPr>
      </w:pPr>
      <w:r w:rsidRPr="00C54308">
        <w:rPr>
          <w:rFonts w:ascii="Poppins Light" w:hAnsi="Poppins Light" w:cs="Poppins Light"/>
          <w:sz w:val="16"/>
          <w:szCs w:val="16"/>
        </w:rPr>
        <w:t>Description of the Use Case</w:t>
      </w:r>
    </w:p>
    <w:p w14:paraId="3C6B3933" w14:textId="77777777" w:rsidR="00433680" w:rsidRDefault="00433680" w:rsidP="004E3612">
      <w:pPr>
        <w:spacing w:before="120"/>
        <w:ind w:left="357"/>
        <w:jc w:val="both"/>
        <w:rPr>
          <w:rFonts w:ascii="Poppins Light" w:hAnsi="Poppins Light" w:cs="Poppins Light"/>
          <w:sz w:val="16"/>
          <w:szCs w:val="16"/>
        </w:rPr>
      </w:pPr>
    </w:p>
    <w:p w14:paraId="68D65FCA" w14:textId="77777777" w:rsidR="00433680" w:rsidRDefault="00433680" w:rsidP="004E3612">
      <w:pPr>
        <w:spacing w:before="120"/>
        <w:ind w:left="357"/>
        <w:jc w:val="both"/>
        <w:rPr>
          <w:rFonts w:ascii="Poppins Light" w:hAnsi="Poppins Light" w:cs="Poppins Light"/>
          <w:sz w:val="16"/>
          <w:szCs w:val="16"/>
        </w:rPr>
      </w:pPr>
    </w:p>
    <w:p w14:paraId="04A3610D" w14:textId="140A43C4" w:rsidR="000E4733" w:rsidRPr="00433680" w:rsidRDefault="000E4733" w:rsidP="00433680">
      <w:pPr>
        <w:pStyle w:val="ListParagraph"/>
        <w:numPr>
          <w:ilvl w:val="0"/>
          <w:numId w:val="11"/>
        </w:numPr>
        <w:spacing w:before="120"/>
        <w:jc w:val="both"/>
        <w:rPr>
          <w:rFonts w:ascii="Poppins Light" w:hAnsi="Poppins Light" w:cs="Poppins Light"/>
          <w:sz w:val="16"/>
          <w:szCs w:val="16"/>
        </w:rPr>
      </w:pPr>
      <w:r w:rsidRPr="00433680">
        <w:rPr>
          <w:rFonts w:ascii="Poppins Light" w:eastAsia="Times New Roman" w:hAnsi="Poppins Light" w:cs="Times New Roman (Corps CS)"/>
          <w:kern w:val="0"/>
          <w:sz w:val="16"/>
          <w:szCs w:val="16"/>
          <w14:ligatures w14:val="none"/>
        </w:rPr>
        <w:br w:type="page"/>
      </w:r>
    </w:p>
    <w:p w14:paraId="25D735A3" w14:textId="018FCC75" w:rsidR="00741196" w:rsidRPr="000E4733" w:rsidRDefault="000E4733" w:rsidP="000E4733">
      <w:pPr>
        <w:spacing w:line="360" w:lineRule="auto"/>
        <w:jc w:val="both"/>
        <w:rPr>
          <w:rFonts w:ascii="Poppins Light" w:eastAsia="Times New Roman" w:hAnsi="Poppins Light" w:cs="Times New Roman (Corps CS)"/>
          <w:kern w:val="0"/>
          <w:sz w:val="16"/>
          <w:szCs w:val="16"/>
          <w14:ligatures w14:val="none"/>
        </w:rPr>
      </w:pPr>
      <w:r w:rsidRPr="000E4733">
        <w:rPr>
          <w:rFonts w:ascii="Poppins Light" w:eastAsia="Times New Roman" w:hAnsi="Poppins Light" w:cs="Times New Roman (Corps CS)"/>
          <w:kern w:val="0"/>
          <w:sz w:val="16"/>
          <w:szCs w:val="16"/>
          <w14:ligatures w14:val="none"/>
        </w:rPr>
        <w:lastRenderedPageBreak/>
        <w:t>S</w:t>
      </w:r>
      <w:r w:rsidR="00741196" w:rsidRPr="000E4733">
        <w:rPr>
          <w:rFonts w:ascii="Poppins Light" w:eastAsia="Times New Roman" w:hAnsi="Poppins Light" w:cs="Times New Roman (Corps CS)"/>
          <w:b/>
          <w:kern w:val="0"/>
          <w:sz w:val="16"/>
          <w:szCs w:val="16"/>
          <w14:ligatures w14:val="none"/>
        </w:rPr>
        <w:t>IGNED</w:t>
      </w:r>
      <w:r w:rsidR="00741196" w:rsidRPr="000E4733">
        <w:rPr>
          <w:rFonts w:ascii="Poppins Light" w:eastAsia="Times New Roman" w:hAnsi="Poppins Light" w:cs="Times New Roman (Corps CS)"/>
          <w:kern w:val="0"/>
          <w:sz w:val="16"/>
          <w:szCs w:val="16"/>
          <w14:ligatures w14:val="none"/>
        </w:rPr>
        <w:t xml:space="preserve"> as an agreement in two copies of which each party received one. </w:t>
      </w:r>
    </w:p>
    <w:tbl>
      <w:tblPr>
        <w:tblStyle w:val="TableGrid"/>
        <w:tblW w:w="8352"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76"/>
        <w:gridCol w:w="4176"/>
      </w:tblGrid>
      <w:tr w:rsidR="00741196" w:rsidRPr="00C91B0C" w14:paraId="086AEF6B" w14:textId="77777777" w:rsidTr="005A4F39">
        <w:tc>
          <w:tcPr>
            <w:tcW w:w="4176" w:type="dxa"/>
          </w:tcPr>
          <w:p w14:paraId="4C318668" w14:textId="2C0F1D76" w:rsidR="00741196" w:rsidRPr="00C91B0C" w:rsidRDefault="00741196" w:rsidP="00741196">
            <w:pPr>
              <w:spacing w:line="360" w:lineRule="auto"/>
              <w:ind w:left="37"/>
              <w:jc w:val="both"/>
              <w:rPr>
                <w:rFonts w:ascii="Poppins Light" w:eastAsia="Times New Roman" w:hAnsi="Poppins Light" w:cs="Poppins Light"/>
                <w:sz w:val="16"/>
                <w:szCs w:val="16"/>
                <w14:ligatures w14:val="none"/>
              </w:rPr>
            </w:pPr>
            <w:r>
              <w:rPr>
                <w:rFonts w:ascii="Poppins Light" w:eastAsia="Times New Roman" w:hAnsi="Poppins Light" w:cs="Poppins Light"/>
                <w:b/>
                <w:sz w:val="16"/>
                <w:szCs w:val="16"/>
                <w14:ligatures w14:val="none"/>
              </w:rPr>
              <w:t xml:space="preserve">   </w:t>
            </w:r>
            <w:r w:rsidRPr="00C91B0C">
              <w:rPr>
                <w:rFonts w:ascii="Poppins Light" w:eastAsia="Times New Roman" w:hAnsi="Poppins Light" w:cs="Poppins Light"/>
                <w:b/>
                <w:sz w:val="16"/>
                <w:szCs w:val="16"/>
                <w14:ligatures w14:val="none"/>
              </w:rPr>
              <w:t xml:space="preserve">SIGNED </w:t>
            </w:r>
            <w:r w:rsidRPr="00C91B0C">
              <w:rPr>
                <w:rFonts w:ascii="Poppins Light" w:eastAsia="Times New Roman" w:hAnsi="Poppins Light" w:cs="Poppins Light"/>
                <w:sz w:val="16"/>
                <w:szCs w:val="16"/>
                <w14:ligatures w14:val="none"/>
              </w:rPr>
              <w:t xml:space="preserve">by an authorised representative for </w:t>
            </w:r>
            <w:r>
              <w:rPr>
                <w:rFonts w:ascii="Poppins Light" w:eastAsia="Times New Roman" w:hAnsi="Poppins Light" w:cs="Poppins Light"/>
                <w:sz w:val="16"/>
                <w:szCs w:val="16"/>
                <w14:ligatures w14:val="none"/>
              </w:rPr>
              <w:t xml:space="preserve">     </w:t>
            </w:r>
            <w:r w:rsidRPr="00C91B0C">
              <w:rPr>
                <w:rFonts w:ascii="Poppins Light" w:eastAsia="Times New Roman" w:hAnsi="Poppins Light" w:cs="Poppins Light"/>
                <w:b/>
                <w:bCs/>
                <w:sz w:val="16"/>
                <w:szCs w:val="16"/>
                <w14:ligatures w14:val="none"/>
              </w:rPr>
              <w:t>EMMI</w:t>
            </w:r>
            <w:r w:rsidRPr="00C91B0C">
              <w:rPr>
                <w:rFonts w:ascii="Poppins Light" w:eastAsia="Times New Roman" w:hAnsi="Poppins Light" w:cs="Poppins Light"/>
                <w:sz w:val="16"/>
                <w:szCs w:val="16"/>
                <w14:ligatures w14:val="none"/>
              </w:rPr>
              <w:t xml:space="preserve"> </w:t>
            </w:r>
            <w:r w:rsidRPr="00C91B0C">
              <w:rPr>
                <w:rFonts w:ascii="Poppins Light" w:eastAsia="Times New Roman" w:hAnsi="Poppins Light" w:cs="Poppins Light"/>
                <w:b/>
                <w:bCs/>
                <w:sz w:val="16"/>
                <w:szCs w:val="16"/>
                <w14:ligatures w14:val="none"/>
              </w:rPr>
              <w:t>(Identification number 1768/99)</w:t>
            </w:r>
            <w:r w:rsidRPr="00C91B0C">
              <w:rPr>
                <w:rFonts w:ascii="Poppins Light" w:eastAsia="Times New Roman" w:hAnsi="Poppins Light" w:cs="Poppins Light"/>
                <w:sz w:val="16"/>
                <w:szCs w:val="16"/>
                <w14:ligatures w14:val="none"/>
              </w:rPr>
              <w:t xml:space="preserve"> </w:t>
            </w:r>
          </w:p>
          <w:p w14:paraId="22FE159B" w14:textId="77777777" w:rsidR="00741196" w:rsidRPr="00C91B0C" w:rsidRDefault="00741196" w:rsidP="00741196">
            <w:pPr>
              <w:spacing w:after="120" w:line="360" w:lineRule="auto"/>
              <w:jc w:val="both"/>
              <w:rPr>
                <w:rFonts w:ascii="Poppins Light" w:eastAsia="Times New Roman" w:hAnsi="Poppins Light"/>
                <w:sz w:val="16"/>
                <w:szCs w:val="16"/>
                <w14:ligatures w14:val="none"/>
              </w:rPr>
            </w:pPr>
          </w:p>
        </w:tc>
        <w:tc>
          <w:tcPr>
            <w:tcW w:w="4176" w:type="dxa"/>
          </w:tcPr>
          <w:p w14:paraId="088F9C46" w14:textId="77777777" w:rsidR="00741196" w:rsidRPr="00C91B0C" w:rsidRDefault="00741196" w:rsidP="00741196">
            <w:pPr>
              <w:spacing w:after="120" w:line="360" w:lineRule="auto"/>
              <w:jc w:val="both"/>
              <w:rPr>
                <w:rFonts w:ascii="Poppins Light" w:eastAsia="Times New Roman" w:hAnsi="Poppins Light"/>
                <w:sz w:val="16"/>
                <w:szCs w:val="16"/>
                <w14:ligatures w14:val="none"/>
              </w:rPr>
            </w:pPr>
          </w:p>
        </w:tc>
      </w:tr>
      <w:tr w:rsidR="00741196" w:rsidRPr="00C91B0C" w14:paraId="0CFFBC72" w14:textId="77777777" w:rsidTr="005A4F39">
        <w:tc>
          <w:tcPr>
            <w:tcW w:w="4176" w:type="dxa"/>
          </w:tcPr>
          <w:p w14:paraId="096F8203" w14:textId="77777777" w:rsidR="00741196" w:rsidRPr="00C91B0C" w:rsidRDefault="00741196" w:rsidP="00741196">
            <w:pPr>
              <w:pBdr>
                <w:bottom w:val="single" w:sz="2" w:space="1" w:color="auto"/>
              </w:pBdr>
              <w:spacing w:line="360" w:lineRule="auto"/>
              <w:ind w:left="851"/>
              <w:jc w:val="both"/>
              <w:rPr>
                <w:rFonts w:ascii="Poppins Light" w:eastAsia="Times New Roman" w:hAnsi="Poppins Light"/>
                <w:sz w:val="16"/>
                <w:szCs w:val="16"/>
                <w14:ligatures w14:val="none"/>
              </w:rPr>
            </w:pPr>
          </w:p>
          <w:p w14:paraId="15DB7207" w14:textId="77777777" w:rsidR="00741196" w:rsidRPr="00C91B0C" w:rsidRDefault="00741196" w:rsidP="00741196">
            <w:pPr>
              <w:spacing w:line="360" w:lineRule="auto"/>
              <w:ind w:left="851"/>
              <w:jc w:val="both"/>
              <w:rPr>
                <w:rFonts w:ascii="Poppins Light" w:eastAsia="Times New Roman" w:hAnsi="Poppins Light"/>
                <w:sz w:val="16"/>
                <w:szCs w:val="16"/>
                <w14:ligatures w14:val="none"/>
              </w:rPr>
            </w:pPr>
            <w:r w:rsidRPr="00C91B0C">
              <w:rPr>
                <w:rFonts w:ascii="Poppins Light" w:eastAsia="Times New Roman" w:hAnsi="Poppins Light"/>
                <w:sz w:val="16"/>
                <w:szCs w:val="16"/>
                <w14:ligatures w14:val="none"/>
              </w:rPr>
              <w:t>Signature of authorised representative</w:t>
            </w:r>
          </w:p>
          <w:p w14:paraId="1EB22E38" w14:textId="77777777" w:rsidR="00741196" w:rsidRPr="00C91B0C" w:rsidRDefault="00741196" w:rsidP="00741196">
            <w:pPr>
              <w:spacing w:after="120" w:line="360" w:lineRule="auto"/>
              <w:jc w:val="both"/>
              <w:rPr>
                <w:rFonts w:ascii="Poppins Light" w:eastAsia="Times New Roman" w:hAnsi="Poppins Light"/>
                <w:sz w:val="16"/>
                <w:szCs w:val="16"/>
                <w14:ligatures w14:val="none"/>
              </w:rPr>
            </w:pPr>
          </w:p>
        </w:tc>
        <w:tc>
          <w:tcPr>
            <w:tcW w:w="4176" w:type="dxa"/>
          </w:tcPr>
          <w:p w14:paraId="34A3CC3F" w14:textId="77777777" w:rsidR="00741196" w:rsidRPr="00C91B0C" w:rsidRDefault="00741196" w:rsidP="00741196">
            <w:pPr>
              <w:pBdr>
                <w:bottom w:val="single" w:sz="2" w:space="1" w:color="auto"/>
              </w:pBdr>
              <w:spacing w:line="360" w:lineRule="auto"/>
              <w:ind w:left="851"/>
              <w:jc w:val="both"/>
              <w:rPr>
                <w:rFonts w:ascii="Poppins Light" w:eastAsia="Times New Roman" w:hAnsi="Poppins Light"/>
                <w:sz w:val="16"/>
                <w:szCs w:val="16"/>
                <w14:ligatures w14:val="none"/>
              </w:rPr>
            </w:pPr>
          </w:p>
          <w:p w14:paraId="0ADF65AE" w14:textId="77777777" w:rsidR="00741196" w:rsidRPr="00C91B0C" w:rsidRDefault="00741196" w:rsidP="00741196">
            <w:pPr>
              <w:spacing w:line="360" w:lineRule="auto"/>
              <w:ind w:left="851"/>
              <w:jc w:val="both"/>
              <w:rPr>
                <w:rFonts w:ascii="Poppins Light" w:eastAsia="Times New Roman" w:hAnsi="Poppins Light"/>
                <w:sz w:val="16"/>
                <w:szCs w:val="16"/>
                <w14:ligatures w14:val="none"/>
              </w:rPr>
            </w:pPr>
            <w:r w:rsidRPr="00C91B0C">
              <w:rPr>
                <w:rFonts w:ascii="Poppins Light" w:eastAsia="Times New Roman" w:hAnsi="Poppins Light"/>
                <w:sz w:val="16"/>
                <w:szCs w:val="16"/>
                <w14:ligatures w14:val="none"/>
              </w:rPr>
              <w:t>Name of authorised representative</w:t>
            </w:r>
          </w:p>
          <w:p w14:paraId="374C810E" w14:textId="77777777" w:rsidR="00741196" w:rsidRPr="00C91B0C" w:rsidRDefault="00741196" w:rsidP="00741196">
            <w:pPr>
              <w:spacing w:after="120" w:line="360" w:lineRule="auto"/>
              <w:jc w:val="both"/>
              <w:rPr>
                <w:rFonts w:ascii="Poppins Light" w:eastAsia="Times New Roman" w:hAnsi="Poppins Light"/>
                <w:sz w:val="16"/>
                <w:szCs w:val="16"/>
                <w14:ligatures w14:val="none"/>
              </w:rPr>
            </w:pPr>
          </w:p>
        </w:tc>
      </w:tr>
      <w:tr w:rsidR="00741196" w:rsidRPr="00C91B0C" w14:paraId="3B1B8BBE" w14:textId="77777777" w:rsidTr="005A4F39">
        <w:tc>
          <w:tcPr>
            <w:tcW w:w="4176" w:type="dxa"/>
          </w:tcPr>
          <w:p w14:paraId="49ED2A65" w14:textId="77777777" w:rsidR="00741196" w:rsidRPr="00C91B0C" w:rsidRDefault="00741196" w:rsidP="00741196">
            <w:pPr>
              <w:spacing w:line="360" w:lineRule="auto"/>
              <w:jc w:val="both"/>
              <w:rPr>
                <w:rFonts w:ascii="Poppins Light" w:eastAsia="Times New Roman" w:hAnsi="Poppins Light"/>
                <w:b/>
                <w:sz w:val="16"/>
                <w:szCs w:val="16"/>
                <w14:ligatures w14:val="none"/>
              </w:rPr>
            </w:pPr>
          </w:p>
          <w:p w14:paraId="2A803B63" w14:textId="468CBE5C" w:rsidR="00741196" w:rsidRPr="00C91B0C" w:rsidRDefault="00741196" w:rsidP="00741196">
            <w:pPr>
              <w:spacing w:line="360" w:lineRule="auto"/>
              <w:jc w:val="both"/>
              <w:rPr>
                <w:rFonts w:ascii="Poppins Light" w:eastAsia="Times New Roman" w:hAnsi="Poppins Light"/>
                <w:sz w:val="16"/>
                <w:szCs w:val="16"/>
                <w14:ligatures w14:val="none"/>
              </w:rPr>
            </w:pPr>
            <w:r w:rsidRPr="00C91B0C">
              <w:rPr>
                <w:rFonts w:ascii="Poppins Light" w:eastAsia="Times New Roman" w:hAnsi="Poppins Light"/>
                <w:b/>
                <w:sz w:val="16"/>
                <w:szCs w:val="16"/>
                <w14:ligatures w14:val="none"/>
              </w:rPr>
              <w:t xml:space="preserve">SIGNED </w:t>
            </w:r>
            <w:r w:rsidRPr="00C91B0C">
              <w:rPr>
                <w:rFonts w:ascii="Poppins Light" w:eastAsia="Times New Roman" w:hAnsi="Poppins Light"/>
                <w:sz w:val="16"/>
                <w:szCs w:val="16"/>
                <w14:ligatures w14:val="none"/>
              </w:rPr>
              <w:t xml:space="preserve">by an authorised representative for the </w:t>
            </w:r>
            <w:r>
              <w:rPr>
                <w:rFonts w:ascii="Poppins Light" w:eastAsia="Times New Roman" w:hAnsi="Poppins Light"/>
                <w:b/>
                <w:sz w:val="16"/>
                <w:szCs w:val="16"/>
                <w14:ligatures w14:val="none"/>
              </w:rPr>
              <w:t>Subscriber</w:t>
            </w:r>
          </w:p>
          <w:p w14:paraId="1472FE83" w14:textId="77777777" w:rsidR="00741196" w:rsidRPr="00C91B0C" w:rsidRDefault="00741196" w:rsidP="00741196">
            <w:pPr>
              <w:spacing w:after="120" w:line="360" w:lineRule="auto"/>
              <w:jc w:val="both"/>
              <w:rPr>
                <w:rFonts w:ascii="Poppins Light" w:eastAsia="Times New Roman" w:hAnsi="Poppins Light"/>
                <w:sz w:val="16"/>
                <w:szCs w:val="16"/>
                <w14:ligatures w14:val="none"/>
              </w:rPr>
            </w:pPr>
          </w:p>
        </w:tc>
        <w:tc>
          <w:tcPr>
            <w:tcW w:w="4176" w:type="dxa"/>
          </w:tcPr>
          <w:p w14:paraId="1A9AAE40" w14:textId="77777777" w:rsidR="00741196" w:rsidRPr="00C91B0C" w:rsidRDefault="00741196" w:rsidP="00741196">
            <w:pPr>
              <w:spacing w:after="120" w:line="360" w:lineRule="auto"/>
              <w:jc w:val="both"/>
              <w:rPr>
                <w:rFonts w:ascii="Poppins Light" w:eastAsia="Times New Roman" w:hAnsi="Poppins Light"/>
                <w:sz w:val="16"/>
                <w:szCs w:val="16"/>
                <w14:ligatures w14:val="none"/>
              </w:rPr>
            </w:pPr>
          </w:p>
        </w:tc>
      </w:tr>
      <w:tr w:rsidR="00741196" w:rsidRPr="00C91B0C" w14:paraId="137F2473" w14:textId="77777777" w:rsidTr="005A4F39">
        <w:tc>
          <w:tcPr>
            <w:tcW w:w="4176" w:type="dxa"/>
          </w:tcPr>
          <w:p w14:paraId="2ACCBE3C" w14:textId="77777777" w:rsidR="00741196" w:rsidRPr="00C91B0C" w:rsidRDefault="00741196" w:rsidP="00741196">
            <w:pPr>
              <w:pBdr>
                <w:bottom w:val="single" w:sz="2" w:space="1" w:color="auto"/>
              </w:pBdr>
              <w:spacing w:line="360" w:lineRule="auto"/>
              <w:ind w:left="851"/>
              <w:jc w:val="both"/>
              <w:rPr>
                <w:rFonts w:ascii="Poppins Light" w:eastAsia="Times New Roman" w:hAnsi="Poppins Light"/>
                <w:sz w:val="16"/>
                <w:szCs w:val="16"/>
                <w14:ligatures w14:val="none"/>
              </w:rPr>
            </w:pPr>
          </w:p>
          <w:p w14:paraId="0BAABED8" w14:textId="77777777" w:rsidR="00741196" w:rsidRPr="00C91B0C" w:rsidRDefault="00741196" w:rsidP="00741196">
            <w:pPr>
              <w:spacing w:line="360" w:lineRule="auto"/>
              <w:ind w:left="851"/>
              <w:jc w:val="both"/>
              <w:rPr>
                <w:rFonts w:ascii="Poppins Light" w:eastAsia="Times New Roman" w:hAnsi="Poppins Light"/>
                <w:sz w:val="16"/>
                <w:szCs w:val="16"/>
                <w14:ligatures w14:val="none"/>
              </w:rPr>
            </w:pPr>
            <w:r w:rsidRPr="00C91B0C">
              <w:rPr>
                <w:rFonts w:ascii="Poppins Light" w:eastAsia="Times New Roman" w:hAnsi="Poppins Light"/>
                <w:sz w:val="16"/>
                <w:szCs w:val="16"/>
                <w14:ligatures w14:val="none"/>
              </w:rPr>
              <w:t>Signature of authorised representative</w:t>
            </w:r>
          </w:p>
        </w:tc>
        <w:tc>
          <w:tcPr>
            <w:tcW w:w="4176" w:type="dxa"/>
          </w:tcPr>
          <w:p w14:paraId="30681D0A" w14:textId="77777777" w:rsidR="00741196" w:rsidRPr="00C91B0C" w:rsidRDefault="00741196" w:rsidP="00741196">
            <w:pPr>
              <w:pBdr>
                <w:bottom w:val="single" w:sz="2" w:space="1" w:color="auto"/>
              </w:pBdr>
              <w:spacing w:line="360" w:lineRule="auto"/>
              <w:ind w:left="851"/>
              <w:jc w:val="both"/>
              <w:rPr>
                <w:rFonts w:ascii="Poppins Light" w:eastAsia="Times New Roman" w:hAnsi="Poppins Light"/>
                <w:sz w:val="16"/>
                <w:szCs w:val="16"/>
                <w14:ligatures w14:val="none"/>
              </w:rPr>
            </w:pPr>
          </w:p>
          <w:p w14:paraId="252EE7CB" w14:textId="77777777" w:rsidR="00741196" w:rsidRPr="00C91B0C" w:rsidRDefault="00741196" w:rsidP="00741196">
            <w:pPr>
              <w:spacing w:line="360" w:lineRule="auto"/>
              <w:ind w:left="851"/>
              <w:jc w:val="both"/>
              <w:rPr>
                <w:rFonts w:ascii="Poppins Light" w:eastAsia="Times New Roman" w:hAnsi="Poppins Light"/>
                <w:sz w:val="16"/>
                <w:szCs w:val="16"/>
                <w14:ligatures w14:val="none"/>
              </w:rPr>
            </w:pPr>
            <w:r w:rsidRPr="00C91B0C">
              <w:rPr>
                <w:rFonts w:ascii="Poppins Light" w:eastAsia="Times New Roman" w:hAnsi="Poppins Light"/>
                <w:sz w:val="16"/>
                <w:szCs w:val="16"/>
                <w14:ligatures w14:val="none"/>
              </w:rPr>
              <w:t>Name of authorised representative</w:t>
            </w:r>
          </w:p>
        </w:tc>
      </w:tr>
    </w:tbl>
    <w:p w14:paraId="0FA6111E" w14:textId="77777777" w:rsidR="00741196" w:rsidRPr="00E14735" w:rsidRDefault="00741196" w:rsidP="00741196">
      <w:pPr>
        <w:jc w:val="both"/>
      </w:pPr>
    </w:p>
    <w:p w14:paraId="70EB6E5B" w14:textId="77777777" w:rsidR="00741196" w:rsidRPr="00E14735" w:rsidRDefault="00741196" w:rsidP="00741196">
      <w:pPr>
        <w:jc w:val="both"/>
      </w:pPr>
    </w:p>
    <w:sectPr w:rsidR="00741196" w:rsidRPr="00E14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Poppins Light">
    <w:altName w:val="Mangal"/>
    <w:panose1 w:val="000004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972"/>
    <w:multiLevelType w:val="hybridMultilevel"/>
    <w:tmpl w:val="B76657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937A43"/>
    <w:multiLevelType w:val="hybridMultilevel"/>
    <w:tmpl w:val="F75E756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B56D63"/>
    <w:multiLevelType w:val="hybridMultilevel"/>
    <w:tmpl w:val="85160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D8727F"/>
    <w:multiLevelType w:val="hybridMultilevel"/>
    <w:tmpl w:val="64C66A1E"/>
    <w:lvl w:ilvl="0" w:tplc="F0E63BCE">
      <w:start w:val="4"/>
      <w:numFmt w:val="upperRoman"/>
      <w:lvlText w:val="%1."/>
      <w:lvlJc w:val="righ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307C3C3A"/>
    <w:multiLevelType w:val="hybridMultilevel"/>
    <w:tmpl w:val="8F60D546"/>
    <w:lvl w:ilvl="0" w:tplc="F0E63BCE">
      <w:start w:val="4"/>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984A57"/>
    <w:multiLevelType w:val="hybridMultilevel"/>
    <w:tmpl w:val="62BC5E0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A8F5C93"/>
    <w:multiLevelType w:val="hybridMultilevel"/>
    <w:tmpl w:val="9F0E743C"/>
    <w:lvl w:ilvl="0" w:tplc="2000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B0451A"/>
    <w:multiLevelType w:val="hybridMultilevel"/>
    <w:tmpl w:val="4C70B29E"/>
    <w:lvl w:ilvl="0" w:tplc="8CF89FC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DA2BA0"/>
    <w:multiLevelType w:val="hybridMultilevel"/>
    <w:tmpl w:val="217AC0A8"/>
    <w:lvl w:ilvl="0" w:tplc="2000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1B35AB"/>
    <w:multiLevelType w:val="hybridMultilevel"/>
    <w:tmpl w:val="8E14FF4E"/>
    <w:lvl w:ilvl="0" w:tplc="39BA044A">
      <w:start w:val="2"/>
      <w:numFmt w:val="upp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23521F9"/>
    <w:multiLevelType w:val="hybridMultilevel"/>
    <w:tmpl w:val="1C1CE1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4769465">
    <w:abstractNumId w:val="5"/>
  </w:num>
  <w:num w:numId="2" w16cid:durableId="860902121">
    <w:abstractNumId w:val="1"/>
  </w:num>
  <w:num w:numId="3" w16cid:durableId="1297835473">
    <w:abstractNumId w:val="2"/>
  </w:num>
  <w:num w:numId="4" w16cid:durableId="4290493">
    <w:abstractNumId w:val="10"/>
  </w:num>
  <w:num w:numId="5" w16cid:durableId="309402949">
    <w:abstractNumId w:val="0"/>
  </w:num>
  <w:num w:numId="6" w16cid:durableId="859582521">
    <w:abstractNumId w:val="7"/>
  </w:num>
  <w:num w:numId="7" w16cid:durableId="1586719054">
    <w:abstractNumId w:val="4"/>
  </w:num>
  <w:num w:numId="8" w16cid:durableId="427888277">
    <w:abstractNumId w:val="3"/>
  </w:num>
  <w:num w:numId="9" w16cid:durableId="1851483382">
    <w:abstractNumId w:val="9"/>
  </w:num>
  <w:num w:numId="10" w16cid:durableId="1169054220">
    <w:abstractNumId w:val="6"/>
  </w:num>
  <w:num w:numId="11" w16cid:durableId="1544095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56E2"/>
    <w:rsid w:val="000670E9"/>
    <w:rsid w:val="000D132E"/>
    <w:rsid w:val="000E4733"/>
    <w:rsid w:val="001E2940"/>
    <w:rsid w:val="00317AA9"/>
    <w:rsid w:val="003B32AF"/>
    <w:rsid w:val="003F7A0D"/>
    <w:rsid w:val="004277C3"/>
    <w:rsid w:val="00433680"/>
    <w:rsid w:val="004A5896"/>
    <w:rsid w:val="004D7D8F"/>
    <w:rsid w:val="004E3612"/>
    <w:rsid w:val="004E56E2"/>
    <w:rsid w:val="004F3A0E"/>
    <w:rsid w:val="00522940"/>
    <w:rsid w:val="00693160"/>
    <w:rsid w:val="00741196"/>
    <w:rsid w:val="00983C5D"/>
    <w:rsid w:val="009A44E7"/>
    <w:rsid w:val="00A11F62"/>
    <w:rsid w:val="00A35B7A"/>
    <w:rsid w:val="00B65802"/>
    <w:rsid w:val="00C54308"/>
    <w:rsid w:val="00C91B0C"/>
    <w:rsid w:val="00D670DA"/>
    <w:rsid w:val="00E0524B"/>
    <w:rsid w:val="00E14735"/>
    <w:rsid w:val="00E31C99"/>
    <w:rsid w:val="00E51D57"/>
    <w:rsid w:val="00E97A35"/>
    <w:rsid w:val="00F75761"/>
    <w:rsid w:val="00FA455F"/>
    <w:rsid w:val="00FE706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4988"/>
  <w15:chartTrackingRefBased/>
  <w15:docId w15:val="{9E8AAA07-1C33-457E-B58F-8824F668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E5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6E2"/>
    <w:rPr>
      <w:rFonts w:eastAsiaTheme="majorEastAsia" w:cstheme="majorBidi"/>
      <w:color w:val="272727" w:themeColor="text1" w:themeTint="D8"/>
    </w:rPr>
  </w:style>
  <w:style w:type="paragraph" w:styleId="Title">
    <w:name w:val="Title"/>
    <w:basedOn w:val="Normal"/>
    <w:next w:val="Normal"/>
    <w:link w:val="TitleChar"/>
    <w:uiPriority w:val="10"/>
    <w:qFormat/>
    <w:rsid w:val="004E5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6E2"/>
    <w:pPr>
      <w:spacing w:before="160"/>
      <w:jc w:val="center"/>
    </w:pPr>
    <w:rPr>
      <w:i/>
      <w:iCs/>
      <w:color w:val="404040" w:themeColor="text1" w:themeTint="BF"/>
    </w:rPr>
  </w:style>
  <w:style w:type="character" w:customStyle="1" w:styleId="QuoteChar">
    <w:name w:val="Quote Char"/>
    <w:basedOn w:val="DefaultParagraphFont"/>
    <w:link w:val="Quote"/>
    <w:uiPriority w:val="29"/>
    <w:rsid w:val="004E56E2"/>
    <w:rPr>
      <w:i/>
      <w:iCs/>
      <w:color w:val="404040" w:themeColor="text1" w:themeTint="BF"/>
    </w:rPr>
  </w:style>
  <w:style w:type="paragraph" w:styleId="ListParagraph">
    <w:name w:val="List Paragraph"/>
    <w:basedOn w:val="Normal"/>
    <w:uiPriority w:val="34"/>
    <w:qFormat/>
    <w:rsid w:val="004E56E2"/>
    <w:pPr>
      <w:ind w:left="720"/>
      <w:contextualSpacing/>
    </w:pPr>
  </w:style>
  <w:style w:type="character" w:styleId="IntenseEmphasis">
    <w:name w:val="Intense Emphasis"/>
    <w:basedOn w:val="DefaultParagraphFont"/>
    <w:uiPriority w:val="21"/>
    <w:qFormat/>
    <w:rsid w:val="004E56E2"/>
    <w:rPr>
      <w:i/>
      <w:iCs/>
      <w:color w:val="0F4761" w:themeColor="accent1" w:themeShade="BF"/>
    </w:rPr>
  </w:style>
  <w:style w:type="paragraph" w:styleId="IntenseQuote">
    <w:name w:val="Intense Quote"/>
    <w:basedOn w:val="Normal"/>
    <w:next w:val="Normal"/>
    <w:link w:val="IntenseQuoteChar"/>
    <w:uiPriority w:val="30"/>
    <w:qFormat/>
    <w:rsid w:val="004E5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6E2"/>
    <w:rPr>
      <w:i/>
      <w:iCs/>
      <w:color w:val="0F4761" w:themeColor="accent1" w:themeShade="BF"/>
    </w:rPr>
  </w:style>
  <w:style w:type="character" w:styleId="IntenseReference">
    <w:name w:val="Intense Reference"/>
    <w:basedOn w:val="DefaultParagraphFont"/>
    <w:uiPriority w:val="32"/>
    <w:qFormat/>
    <w:rsid w:val="004E56E2"/>
    <w:rPr>
      <w:b/>
      <w:bCs/>
      <w:smallCaps/>
      <w:color w:val="0F4761" w:themeColor="accent1" w:themeShade="BF"/>
      <w:spacing w:val="5"/>
    </w:rPr>
  </w:style>
  <w:style w:type="paragraph" w:styleId="Revision">
    <w:name w:val="Revision"/>
    <w:hidden/>
    <w:uiPriority w:val="99"/>
    <w:semiHidden/>
    <w:rsid w:val="00983C5D"/>
    <w:pPr>
      <w:spacing w:after="0" w:line="240" w:lineRule="auto"/>
    </w:pPr>
  </w:style>
  <w:style w:type="table" w:styleId="TableGrid">
    <w:name w:val="Table Grid"/>
    <w:basedOn w:val="TableNormal"/>
    <w:uiPriority w:val="39"/>
    <w:rsid w:val="00C91B0C"/>
    <w:pPr>
      <w:spacing w:after="0" w:line="240" w:lineRule="auto"/>
    </w:pPr>
    <w:rPr>
      <w:rFonts w:ascii="Arial" w:hAnsi="Arial" w:cs="Times New Roman (Corps CS)"/>
      <w:kern w:val="0"/>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58738">
      <w:bodyDiv w:val="1"/>
      <w:marLeft w:val="0"/>
      <w:marRight w:val="0"/>
      <w:marTop w:val="0"/>
      <w:marBottom w:val="0"/>
      <w:divBdr>
        <w:top w:val="none" w:sz="0" w:space="0" w:color="auto"/>
        <w:left w:val="none" w:sz="0" w:space="0" w:color="auto"/>
        <w:bottom w:val="none" w:sz="0" w:space="0" w:color="auto"/>
        <w:right w:val="none" w:sz="0" w:space="0" w:color="auto"/>
      </w:divBdr>
    </w:div>
    <w:div w:id="5971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CFE9-92D1-4DED-9FDA-D8F73426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Pelliccia</dc:creator>
  <cp:keywords/>
  <dc:description/>
  <cp:lastModifiedBy>Giuseppe Delle Fave</cp:lastModifiedBy>
  <cp:revision>9</cp:revision>
  <dcterms:created xsi:type="dcterms:W3CDTF">2025-06-10T11:12:00Z</dcterms:created>
  <dcterms:modified xsi:type="dcterms:W3CDTF">2025-07-03T13:15:00Z</dcterms:modified>
</cp:coreProperties>
</file>